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2495" w14:textId="1CF557E0" w:rsidR="008A3C28" w:rsidRDefault="00DB39FD" w:rsidP="00797B6A">
      <w:pPr>
        <w:pStyle w:val="Heading1"/>
      </w:pPr>
      <w:r w:rsidRPr="008A3C28">
        <w:t xml:space="preserve">Risk assessment </w:t>
      </w:r>
      <w:r w:rsidR="00D0589D">
        <w:t>for Exhibitions – Look Good Live – Nov 22</w:t>
      </w:r>
    </w:p>
    <w:p w14:paraId="14CB2799" w14:textId="1F1AA848" w:rsidR="00797B6A" w:rsidRDefault="00797B6A" w:rsidP="00797B6A">
      <w:pPr>
        <w:pStyle w:val="Heading2"/>
      </w:pPr>
      <w:r>
        <w:t xml:space="preserve">Company name: </w:t>
      </w:r>
      <w:r w:rsidR="00B417FF">
        <w:t>Boogie Bounce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7118DD">
        <w:t>Jenny Belcher</w:t>
      </w:r>
    </w:p>
    <w:p w14:paraId="50BAC64A" w14:textId="6AA5E329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7118DD">
        <w:t>11</w:t>
      </w:r>
      <w:r w:rsidR="007118DD" w:rsidRPr="007118DD">
        <w:rPr>
          <w:vertAlign w:val="superscript"/>
        </w:rPr>
        <w:t>th</w:t>
      </w:r>
      <w:r w:rsidR="007118DD">
        <w:t xml:space="preserve"> October 22</w:t>
      </w:r>
      <w:r w:rsidR="00D0589D">
        <w:t>/Ongoing</w:t>
      </w:r>
    </w:p>
    <w:p w14:paraId="2855D715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90"/>
        <w:gridCol w:w="2088"/>
        <w:gridCol w:w="2200"/>
        <w:gridCol w:w="2865"/>
        <w:gridCol w:w="1858"/>
        <w:gridCol w:w="1997"/>
        <w:gridCol w:w="1104"/>
      </w:tblGrid>
      <w:tr w:rsidR="007A7F3C" w14:paraId="5C595E89" w14:textId="77777777" w:rsidTr="007A7F3C">
        <w:trPr>
          <w:tblHeader/>
        </w:trPr>
        <w:tc>
          <w:tcPr>
            <w:tcW w:w="2249" w:type="dxa"/>
            <w:shd w:val="clear" w:color="auto" w:fill="8F002B"/>
          </w:tcPr>
          <w:p w14:paraId="0028FE1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3" w:type="dxa"/>
            <w:shd w:val="clear" w:color="auto" w:fill="8F002B"/>
          </w:tcPr>
          <w:p w14:paraId="3FA7D048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54" w:type="dxa"/>
            <w:shd w:val="clear" w:color="auto" w:fill="8F002B"/>
          </w:tcPr>
          <w:p w14:paraId="23EE2889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8" w:type="dxa"/>
            <w:shd w:val="clear" w:color="auto" w:fill="8F002B"/>
          </w:tcPr>
          <w:p w14:paraId="0295D17C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2" w:type="dxa"/>
            <w:shd w:val="clear" w:color="auto" w:fill="8F002B"/>
          </w:tcPr>
          <w:p w14:paraId="489240FD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0" w:type="dxa"/>
            <w:shd w:val="clear" w:color="auto" w:fill="8F002B"/>
          </w:tcPr>
          <w:p w14:paraId="2DD3F39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6" w:type="dxa"/>
            <w:shd w:val="clear" w:color="auto" w:fill="8F002B"/>
          </w:tcPr>
          <w:p w14:paraId="3733E15C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DC4C8B" w14:paraId="6037B706" w14:textId="77777777" w:rsidTr="007A7F3C">
        <w:tc>
          <w:tcPr>
            <w:tcW w:w="2249" w:type="dxa"/>
          </w:tcPr>
          <w:p w14:paraId="6B8C9EFC" w14:textId="64B765C7" w:rsidR="00797B6A" w:rsidRPr="00FB1671" w:rsidRDefault="00B417F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Spread of Coronavirus</w:t>
            </w:r>
          </w:p>
        </w:tc>
        <w:tc>
          <w:tcPr>
            <w:tcW w:w="2043" w:type="dxa"/>
          </w:tcPr>
          <w:p w14:paraId="0CBC14FF" w14:textId="257BC8E6" w:rsidR="00797B6A" w:rsidRPr="009874A9" w:rsidRDefault="007118DD" w:rsidP="00257A62">
            <w:pPr>
              <w:pStyle w:val="NoSpacing"/>
            </w:pPr>
            <w:r>
              <w:t>Exhibition attendees</w:t>
            </w:r>
          </w:p>
        </w:tc>
        <w:tc>
          <w:tcPr>
            <w:tcW w:w="2254" w:type="dxa"/>
          </w:tcPr>
          <w:p w14:paraId="62BD3067" w14:textId="77777777" w:rsidR="00966047" w:rsidRDefault="00BB09F4" w:rsidP="007F16BC">
            <w:pPr>
              <w:pStyle w:val="NoSpacing"/>
            </w:pPr>
            <w:r>
              <w:t>Cleaning of equipment before and after use.</w:t>
            </w:r>
          </w:p>
          <w:p w14:paraId="2C055571" w14:textId="77777777" w:rsidR="00BB09F4" w:rsidRDefault="00BB09F4" w:rsidP="007F16BC">
            <w:pPr>
              <w:pStyle w:val="NoSpacing"/>
            </w:pPr>
          </w:p>
          <w:p w14:paraId="267E4066" w14:textId="4C8CA8C5" w:rsidR="00BB09F4" w:rsidRPr="009874A9" w:rsidRDefault="00BB09F4" w:rsidP="007F16BC">
            <w:pPr>
              <w:pStyle w:val="NoSpacing"/>
            </w:pPr>
            <w:r>
              <w:t>Sanitisation on the stand applied regularly</w:t>
            </w:r>
          </w:p>
        </w:tc>
        <w:tc>
          <w:tcPr>
            <w:tcW w:w="2948" w:type="dxa"/>
          </w:tcPr>
          <w:p w14:paraId="547940A7" w14:textId="5BA04F62" w:rsidR="00560D41" w:rsidRPr="009874A9" w:rsidRDefault="007118DD" w:rsidP="00257A62">
            <w:pPr>
              <w:pStyle w:val="NoSpacing"/>
            </w:pPr>
            <w:r>
              <w:t xml:space="preserve">Covid injections to be </w:t>
            </w:r>
            <w:proofErr w:type="gramStart"/>
            <w:r>
              <w:t>up-to-date</w:t>
            </w:r>
            <w:proofErr w:type="gramEnd"/>
          </w:p>
        </w:tc>
        <w:tc>
          <w:tcPr>
            <w:tcW w:w="1922" w:type="dxa"/>
          </w:tcPr>
          <w:p w14:paraId="4AB217F7" w14:textId="4A7FB2AD" w:rsidR="00797B6A" w:rsidRPr="009874A9" w:rsidRDefault="007118DD" w:rsidP="00257A62">
            <w:pPr>
              <w:pStyle w:val="NoSpacing"/>
            </w:pPr>
            <w:r>
              <w:t>Boogie Bounce staff</w:t>
            </w:r>
          </w:p>
        </w:tc>
        <w:tc>
          <w:tcPr>
            <w:tcW w:w="2060" w:type="dxa"/>
          </w:tcPr>
          <w:p w14:paraId="2D4E3BA5" w14:textId="0D3E9467" w:rsidR="00797B6A" w:rsidRPr="009874A9" w:rsidRDefault="007118DD" w:rsidP="00257A62">
            <w:pPr>
              <w:pStyle w:val="NoSpacing"/>
            </w:pPr>
            <w:r>
              <w:t>25</w:t>
            </w:r>
            <w:r w:rsidRPr="007118DD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1126" w:type="dxa"/>
          </w:tcPr>
          <w:p w14:paraId="2D52E569" w14:textId="304BC346" w:rsidR="00797B6A" w:rsidRPr="009874A9" w:rsidRDefault="007118DD" w:rsidP="00257A62">
            <w:pPr>
              <w:pStyle w:val="NoSpacing"/>
            </w:pPr>
            <w:r>
              <w:t>yes</w:t>
            </w:r>
          </w:p>
        </w:tc>
      </w:tr>
      <w:tr w:rsidR="00DC4C8B" w14:paraId="6D5455F8" w14:textId="77777777" w:rsidTr="007A7F3C">
        <w:tc>
          <w:tcPr>
            <w:tcW w:w="2249" w:type="dxa"/>
          </w:tcPr>
          <w:p w14:paraId="54753EC4" w14:textId="38FD9774" w:rsidR="00797B6A" w:rsidRPr="00FB1671" w:rsidRDefault="007F16B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General house keeping</w:t>
            </w:r>
          </w:p>
        </w:tc>
        <w:tc>
          <w:tcPr>
            <w:tcW w:w="2043" w:type="dxa"/>
          </w:tcPr>
          <w:p w14:paraId="30F5BA06" w14:textId="1D911416" w:rsidR="00797B6A" w:rsidRPr="009874A9" w:rsidRDefault="007118DD" w:rsidP="00257A62">
            <w:pPr>
              <w:pStyle w:val="NoSpacing"/>
            </w:pPr>
            <w:r>
              <w:t>Exhibition attendees</w:t>
            </w:r>
          </w:p>
        </w:tc>
        <w:tc>
          <w:tcPr>
            <w:tcW w:w="2254" w:type="dxa"/>
          </w:tcPr>
          <w:p w14:paraId="2F199545" w14:textId="6616198F" w:rsidR="007F16BC" w:rsidRPr="00F963F0" w:rsidRDefault="007F16BC" w:rsidP="007F16BC">
            <w:pPr>
              <w:pStyle w:val="NoSpacing"/>
              <w:rPr>
                <w:szCs w:val="22"/>
              </w:rPr>
            </w:pPr>
            <w:r w:rsidRPr="00F963F0">
              <w:rPr>
                <w:bCs/>
                <w:szCs w:val="22"/>
                <w:lang w:val="en-US"/>
              </w:rPr>
              <w:t xml:space="preserve">Ensure accesses, exits, passage, main </w:t>
            </w:r>
            <w:r w:rsidR="00BB09F4">
              <w:rPr>
                <w:bCs/>
                <w:szCs w:val="22"/>
                <w:lang w:val="en-US"/>
              </w:rPr>
              <w:t>stage,</w:t>
            </w:r>
            <w:r w:rsidRPr="00F963F0">
              <w:rPr>
                <w:bCs/>
                <w:szCs w:val="22"/>
                <w:lang w:val="en-US"/>
              </w:rPr>
              <w:t xml:space="preserve"> </w:t>
            </w:r>
            <w:proofErr w:type="gramStart"/>
            <w:r w:rsidRPr="00F963F0">
              <w:rPr>
                <w:bCs/>
                <w:szCs w:val="22"/>
                <w:lang w:val="en-US"/>
              </w:rPr>
              <w:t>stairways</w:t>
            </w:r>
            <w:proofErr w:type="gramEnd"/>
            <w:r w:rsidR="007118DD">
              <w:rPr>
                <w:bCs/>
                <w:szCs w:val="22"/>
                <w:lang w:val="en-US"/>
              </w:rPr>
              <w:t xml:space="preserve"> and stand</w:t>
            </w:r>
            <w:r w:rsidRPr="00F963F0">
              <w:rPr>
                <w:bCs/>
                <w:szCs w:val="22"/>
                <w:lang w:val="en-US"/>
              </w:rPr>
              <w:t xml:space="preserve"> are safe, unobstructed, and accessible</w:t>
            </w:r>
            <w:r w:rsidR="00964CCF">
              <w:rPr>
                <w:bCs/>
                <w:szCs w:val="22"/>
                <w:lang w:val="en-US"/>
              </w:rPr>
              <w:t>.</w:t>
            </w:r>
          </w:p>
          <w:p w14:paraId="5DEE4355" w14:textId="038038A9" w:rsidR="00797B6A" w:rsidRPr="009874A9" w:rsidRDefault="00797B6A" w:rsidP="00257A62">
            <w:pPr>
              <w:pStyle w:val="NoSpacing"/>
            </w:pPr>
          </w:p>
        </w:tc>
        <w:tc>
          <w:tcPr>
            <w:tcW w:w="2948" w:type="dxa"/>
          </w:tcPr>
          <w:p w14:paraId="1899F4D7" w14:textId="2889E795" w:rsidR="00797B6A" w:rsidRPr="009874A9" w:rsidRDefault="007F16BC" w:rsidP="00257A62">
            <w:pPr>
              <w:pStyle w:val="NoSpacing"/>
            </w:pPr>
            <w:r>
              <w:lastRenderedPageBreak/>
              <w:t>Safety check to be completed on entry to building.</w:t>
            </w:r>
          </w:p>
        </w:tc>
        <w:tc>
          <w:tcPr>
            <w:tcW w:w="1922" w:type="dxa"/>
          </w:tcPr>
          <w:p w14:paraId="6552913A" w14:textId="4ECCF9AE" w:rsidR="00797B6A" w:rsidRPr="009874A9" w:rsidRDefault="007F16BC" w:rsidP="00257A62">
            <w:pPr>
              <w:pStyle w:val="NoSpacing"/>
            </w:pPr>
            <w:r>
              <w:t xml:space="preserve">Boogie Bounce </w:t>
            </w:r>
            <w:r w:rsidR="007118DD">
              <w:t>staff</w:t>
            </w:r>
            <w:r>
              <w:t xml:space="preserve"> on site</w:t>
            </w:r>
          </w:p>
        </w:tc>
        <w:tc>
          <w:tcPr>
            <w:tcW w:w="2060" w:type="dxa"/>
          </w:tcPr>
          <w:p w14:paraId="2B9A55F5" w14:textId="657CAFC2" w:rsidR="00797B6A" w:rsidRPr="009874A9" w:rsidRDefault="007118DD" w:rsidP="00257A62">
            <w:pPr>
              <w:pStyle w:val="NoSpacing"/>
            </w:pPr>
            <w:r>
              <w:t>25</w:t>
            </w:r>
            <w:r w:rsidRPr="007118DD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1126" w:type="dxa"/>
          </w:tcPr>
          <w:p w14:paraId="5AE0637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4C8B" w14:paraId="45D19005" w14:textId="77777777" w:rsidTr="007A7F3C">
        <w:tc>
          <w:tcPr>
            <w:tcW w:w="2249" w:type="dxa"/>
          </w:tcPr>
          <w:p w14:paraId="5772FC76" w14:textId="52118CE1" w:rsidR="00797B6A" w:rsidRPr="00FB1671" w:rsidRDefault="007F16B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Trip hazards</w:t>
            </w:r>
          </w:p>
        </w:tc>
        <w:tc>
          <w:tcPr>
            <w:tcW w:w="2043" w:type="dxa"/>
          </w:tcPr>
          <w:p w14:paraId="714C0DF6" w14:textId="513767A4" w:rsidR="00797B6A" w:rsidRPr="009874A9" w:rsidRDefault="007F16BC" w:rsidP="00257A62">
            <w:pPr>
              <w:pStyle w:val="NoSpacing"/>
            </w:pPr>
            <w:r>
              <w:t xml:space="preserve">Boogie Bounce </w:t>
            </w:r>
            <w:r w:rsidR="007118DD">
              <w:t>staff and exhibition attendees</w:t>
            </w:r>
          </w:p>
        </w:tc>
        <w:tc>
          <w:tcPr>
            <w:tcW w:w="2254" w:type="dxa"/>
          </w:tcPr>
          <w:p w14:paraId="0DC08112" w14:textId="3F13A9AA" w:rsidR="00797B6A" w:rsidRPr="009874A9" w:rsidRDefault="007F16BC" w:rsidP="00257A62">
            <w:pPr>
              <w:pStyle w:val="NoSpacing"/>
            </w:pPr>
            <w:r>
              <w:t>Stereo</w:t>
            </w:r>
            <w:r w:rsidR="00BB09F4">
              <w:t>/TV</w:t>
            </w:r>
            <w:r>
              <w:t xml:space="preserve"> equipment and </w:t>
            </w:r>
            <w:r w:rsidR="007118DD">
              <w:t>2 x</w:t>
            </w:r>
            <w:r w:rsidR="00BB09F4">
              <w:t xml:space="preserve"> demo</w:t>
            </w:r>
            <w:r w:rsidR="007118DD">
              <w:t xml:space="preserve"> rebounders to be on stand</w:t>
            </w:r>
            <w:r w:rsidR="00BB09F4">
              <w:t>/stage</w:t>
            </w:r>
            <w:r w:rsidR="007118DD">
              <w:t xml:space="preserve"> away from </w:t>
            </w:r>
            <w:r w:rsidR="00BB09F4">
              <w:t>exhibition attendees</w:t>
            </w:r>
          </w:p>
        </w:tc>
        <w:tc>
          <w:tcPr>
            <w:tcW w:w="2948" w:type="dxa"/>
          </w:tcPr>
          <w:p w14:paraId="2D2435D4" w14:textId="29CCDDAF" w:rsidR="00797B6A" w:rsidRPr="009874A9" w:rsidRDefault="007F16BC" w:rsidP="00257A62">
            <w:pPr>
              <w:pStyle w:val="NoSpacing"/>
            </w:pPr>
            <w:r>
              <w:t xml:space="preserve">Duct tape or </w:t>
            </w:r>
            <w:r w:rsidR="003F1913">
              <w:t xml:space="preserve">specialist tape to be used </w:t>
            </w:r>
            <w:r w:rsidR="00BB09F4">
              <w:t>for any exposed wires on stand/stage/floor</w:t>
            </w:r>
            <w:r w:rsidR="00040F45">
              <w:t xml:space="preserve"> secure and safe</w:t>
            </w:r>
          </w:p>
        </w:tc>
        <w:tc>
          <w:tcPr>
            <w:tcW w:w="1922" w:type="dxa"/>
          </w:tcPr>
          <w:p w14:paraId="6131D8E2" w14:textId="25BA522C" w:rsidR="00797B6A" w:rsidRPr="009874A9" w:rsidRDefault="003F1913" w:rsidP="00257A62">
            <w:pPr>
              <w:pStyle w:val="NoSpacing"/>
            </w:pPr>
            <w:r>
              <w:t xml:space="preserve">Boogie Bounce </w:t>
            </w:r>
            <w:r w:rsidR="00BB09F4">
              <w:t>staff</w:t>
            </w:r>
            <w:r>
              <w:t xml:space="preserve"> on site</w:t>
            </w:r>
          </w:p>
        </w:tc>
        <w:tc>
          <w:tcPr>
            <w:tcW w:w="2060" w:type="dxa"/>
          </w:tcPr>
          <w:p w14:paraId="505A5242" w14:textId="319A199C" w:rsidR="00797B6A" w:rsidRPr="009874A9" w:rsidRDefault="00BB09F4" w:rsidP="00257A62">
            <w:pPr>
              <w:pStyle w:val="NoSpacing"/>
            </w:pPr>
            <w:r>
              <w:t>25</w:t>
            </w:r>
            <w:r w:rsidRPr="00BB09F4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1126" w:type="dxa"/>
          </w:tcPr>
          <w:p w14:paraId="341286F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7F3C" w14:paraId="29A4C86E" w14:textId="77777777" w:rsidTr="00BB09F4">
        <w:trPr>
          <w:trHeight w:val="682"/>
        </w:trPr>
        <w:tc>
          <w:tcPr>
            <w:tcW w:w="2249" w:type="dxa"/>
          </w:tcPr>
          <w:p w14:paraId="138EF02D" w14:textId="25A6544A" w:rsidR="007A7F3C" w:rsidRPr="00FB1671" w:rsidRDefault="00BB09F4" w:rsidP="007A7F3C">
            <w:pPr>
              <w:pStyle w:val="NoSpacing"/>
              <w:rPr>
                <w:b/>
              </w:rPr>
            </w:pPr>
            <w:r>
              <w:rPr>
                <w:b/>
              </w:rPr>
              <w:t>Accidents on the rebounder/trampoline</w:t>
            </w:r>
          </w:p>
        </w:tc>
        <w:tc>
          <w:tcPr>
            <w:tcW w:w="2043" w:type="dxa"/>
          </w:tcPr>
          <w:p w14:paraId="6DA0B873" w14:textId="16EB7720" w:rsidR="007A7F3C" w:rsidRPr="009874A9" w:rsidRDefault="00BB09F4" w:rsidP="007A7F3C">
            <w:pPr>
              <w:pStyle w:val="NoSpacing"/>
            </w:pPr>
            <w:r>
              <w:t>Boogie Bounce demo staff</w:t>
            </w:r>
          </w:p>
        </w:tc>
        <w:tc>
          <w:tcPr>
            <w:tcW w:w="2254" w:type="dxa"/>
          </w:tcPr>
          <w:p w14:paraId="49D10644" w14:textId="5B42AC1D" w:rsidR="007A7F3C" w:rsidRPr="009874A9" w:rsidRDefault="00BB09F4" w:rsidP="007A7F3C">
            <w:pPr>
              <w:pStyle w:val="NoSpacing"/>
            </w:pPr>
            <w:r>
              <w:t xml:space="preserve">All staff fully qualified </w:t>
            </w:r>
            <w:r w:rsidR="00040F45">
              <w:t>with many years’ experience</w:t>
            </w:r>
          </w:p>
        </w:tc>
        <w:tc>
          <w:tcPr>
            <w:tcW w:w="2948" w:type="dxa"/>
          </w:tcPr>
          <w:p w14:paraId="72EA4D85" w14:textId="4ADCA534" w:rsidR="007A7F3C" w:rsidRPr="009874A9" w:rsidRDefault="007A7F3C" w:rsidP="007A7F3C">
            <w:pPr>
              <w:pStyle w:val="NoSpacing"/>
            </w:pPr>
          </w:p>
        </w:tc>
        <w:tc>
          <w:tcPr>
            <w:tcW w:w="1922" w:type="dxa"/>
          </w:tcPr>
          <w:p w14:paraId="21ACD9F5" w14:textId="2C0F2191" w:rsidR="007A7F3C" w:rsidRPr="009874A9" w:rsidRDefault="00BB09F4" w:rsidP="007A7F3C">
            <w:pPr>
              <w:pStyle w:val="NoSpacing"/>
            </w:pPr>
            <w:r>
              <w:t>Boogie Bounce staff</w:t>
            </w:r>
          </w:p>
        </w:tc>
        <w:tc>
          <w:tcPr>
            <w:tcW w:w="2060" w:type="dxa"/>
          </w:tcPr>
          <w:p w14:paraId="7F32628B" w14:textId="59E78944" w:rsidR="007A7F3C" w:rsidRPr="009874A9" w:rsidRDefault="00BB09F4" w:rsidP="007A7F3C">
            <w:pPr>
              <w:pStyle w:val="NoSpacing"/>
            </w:pPr>
            <w:r>
              <w:t>25</w:t>
            </w:r>
            <w:r w:rsidRPr="00BB09F4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1126" w:type="dxa"/>
          </w:tcPr>
          <w:p w14:paraId="4AFB66D5" w14:textId="77777777" w:rsidR="007A7F3C" w:rsidRPr="009874A9" w:rsidRDefault="007A7F3C" w:rsidP="007A7F3C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7F3C" w14:paraId="0FAE6B8A" w14:textId="77777777" w:rsidTr="007A7F3C">
        <w:tc>
          <w:tcPr>
            <w:tcW w:w="2249" w:type="dxa"/>
          </w:tcPr>
          <w:p w14:paraId="31A9EFA4" w14:textId="05B79E4D" w:rsidR="007A7F3C" w:rsidRPr="00FB1671" w:rsidRDefault="005B7808" w:rsidP="007A7F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Storage of equipment </w:t>
            </w:r>
          </w:p>
        </w:tc>
        <w:tc>
          <w:tcPr>
            <w:tcW w:w="2043" w:type="dxa"/>
          </w:tcPr>
          <w:p w14:paraId="5F5B2B96" w14:textId="17C07904" w:rsidR="007A7F3C" w:rsidRDefault="00BB09F4" w:rsidP="007A7F3C">
            <w:pPr>
              <w:pStyle w:val="NoSpacing"/>
            </w:pPr>
            <w:r>
              <w:t>Cleaners/exhibition staff</w:t>
            </w:r>
          </w:p>
        </w:tc>
        <w:tc>
          <w:tcPr>
            <w:tcW w:w="2254" w:type="dxa"/>
          </w:tcPr>
          <w:p w14:paraId="47A3FE7F" w14:textId="2EB3FB5D" w:rsidR="007A7F3C" w:rsidRDefault="00BB09F4" w:rsidP="007A7F3C">
            <w:pPr>
              <w:pStyle w:val="NoSpacing"/>
            </w:pPr>
            <w:r>
              <w:t>Leave stand, clean &amp; tidy</w:t>
            </w:r>
          </w:p>
        </w:tc>
        <w:tc>
          <w:tcPr>
            <w:tcW w:w="2948" w:type="dxa"/>
          </w:tcPr>
          <w:p w14:paraId="79672247" w14:textId="374CB4EE" w:rsidR="007A7F3C" w:rsidRDefault="007A7F3C" w:rsidP="007A7F3C">
            <w:pPr>
              <w:pStyle w:val="NoSpacing"/>
            </w:pPr>
          </w:p>
        </w:tc>
        <w:tc>
          <w:tcPr>
            <w:tcW w:w="1922" w:type="dxa"/>
          </w:tcPr>
          <w:p w14:paraId="049AFD53" w14:textId="551EF308" w:rsidR="007A7F3C" w:rsidRDefault="00BB09F4" w:rsidP="007A7F3C">
            <w:pPr>
              <w:pStyle w:val="NoSpacing"/>
            </w:pPr>
            <w:r>
              <w:t>Boogie Bounce staff</w:t>
            </w:r>
          </w:p>
        </w:tc>
        <w:tc>
          <w:tcPr>
            <w:tcW w:w="2060" w:type="dxa"/>
          </w:tcPr>
          <w:p w14:paraId="48F5129F" w14:textId="1590A566" w:rsidR="007A7F3C" w:rsidRDefault="00BB09F4" w:rsidP="007A7F3C">
            <w:pPr>
              <w:pStyle w:val="NoSpacing"/>
            </w:pPr>
            <w:r>
              <w:t>25</w:t>
            </w:r>
            <w:r w:rsidRPr="00BB09F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126" w:type="dxa"/>
          </w:tcPr>
          <w:p w14:paraId="7CD843D0" w14:textId="77777777" w:rsidR="007A7F3C" w:rsidRDefault="007A7F3C" w:rsidP="007A7F3C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7F3C" w14:paraId="05D5C94A" w14:textId="77777777" w:rsidTr="007A7F3C">
        <w:tc>
          <w:tcPr>
            <w:tcW w:w="2249" w:type="dxa"/>
          </w:tcPr>
          <w:p w14:paraId="3160530B" w14:textId="2967D845" w:rsidR="007A7F3C" w:rsidRPr="00FB1671" w:rsidRDefault="0087615E" w:rsidP="007A7F3C">
            <w:pPr>
              <w:pStyle w:val="NoSpacing"/>
              <w:rPr>
                <w:b/>
              </w:rPr>
            </w:pPr>
            <w:r>
              <w:rPr>
                <w:b/>
              </w:rPr>
              <w:t>Set up/break down</w:t>
            </w:r>
          </w:p>
        </w:tc>
        <w:tc>
          <w:tcPr>
            <w:tcW w:w="2043" w:type="dxa"/>
          </w:tcPr>
          <w:p w14:paraId="575E9287" w14:textId="49305BE2" w:rsidR="007A7F3C" w:rsidRDefault="0087615E" w:rsidP="007A7F3C">
            <w:pPr>
              <w:pStyle w:val="NoSpacing"/>
            </w:pPr>
            <w:r>
              <w:t>Boogie Bounce staff</w:t>
            </w:r>
          </w:p>
        </w:tc>
        <w:tc>
          <w:tcPr>
            <w:tcW w:w="2254" w:type="dxa"/>
          </w:tcPr>
          <w:p w14:paraId="62283476" w14:textId="0F919DDA" w:rsidR="007A7F3C" w:rsidRDefault="0087615E" w:rsidP="007A7F3C">
            <w:pPr>
              <w:pStyle w:val="NoSpacing"/>
            </w:pPr>
            <w:r>
              <w:t>Read the exhibition manual and abide by the rules and regulations</w:t>
            </w:r>
          </w:p>
        </w:tc>
        <w:tc>
          <w:tcPr>
            <w:tcW w:w="2948" w:type="dxa"/>
          </w:tcPr>
          <w:p w14:paraId="3B717087" w14:textId="31CBB63F" w:rsidR="007A7F3C" w:rsidRDefault="007A7F3C" w:rsidP="007A7F3C">
            <w:pPr>
              <w:pStyle w:val="NoSpacing"/>
            </w:pPr>
          </w:p>
        </w:tc>
        <w:tc>
          <w:tcPr>
            <w:tcW w:w="1922" w:type="dxa"/>
          </w:tcPr>
          <w:p w14:paraId="0D62A9A7" w14:textId="77777777" w:rsidR="007A7F3C" w:rsidRDefault="0087615E" w:rsidP="007A7F3C">
            <w:pPr>
              <w:pStyle w:val="NoSpacing"/>
            </w:pPr>
            <w:r>
              <w:t>Boogie Bounce</w:t>
            </w:r>
          </w:p>
          <w:p w14:paraId="09F6C6D5" w14:textId="5C985F14" w:rsidR="0087615E" w:rsidRDefault="0087615E" w:rsidP="007A7F3C">
            <w:pPr>
              <w:pStyle w:val="NoSpacing"/>
            </w:pPr>
            <w:r>
              <w:t>staff</w:t>
            </w:r>
          </w:p>
        </w:tc>
        <w:tc>
          <w:tcPr>
            <w:tcW w:w="2060" w:type="dxa"/>
          </w:tcPr>
          <w:p w14:paraId="5B36A069" w14:textId="0CF12804" w:rsidR="007A7F3C" w:rsidRDefault="0087615E" w:rsidP="007A7F3C">
            <w:pPr>
              <w:pStyle w:val="NoSpacing"/>
            </w:pPr>
            <w:r>
              <w:t>25</w:t>
            </w:r>
            <w:r w:rsidRPr="0087615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126" w:type="dxa"/>
          </w:tcPr>
          <w:p w14:paraId="59B4BD7A" w14:textId="77777777" w:rsidR="007A7F3C" w:rsidRDefault="007A7F3C" w:rsidP="007A7F3C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597D8CC" w14:textId="77777777" w:rsidR="00E97B85" w:rsidRDefault="00E97B85" w:rsidP="00E97B85"/>
    <w:p w14:paraId="1487A1F3" w14:textId="093AA9B3" w:rsidR="00257A62" w:rsidRPr="00797B6A" w:rsidRDefault="00E97B85" w:rsidP="00E97B85">
      <w:r>
        <w:t xml:space="preserve">Published by the Health and Safety Executive </w:t>
      </w:r>
      <w:r w:rsidR="00986D6E">
        <w:tab/>
      </w:r>
    </w:p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38BD" w14:textId="77777777" w:rsidR="00C72CDF" w:rsidRDefault="00C72CDF" w:rsidP="00DB39FD">
      <w:r>
        <w:separator/>
      </w:r>
    </w:p>
  </w:endnote>
  <w:endnote w:type="continuationSeparator" w:id="0">
    <w:p w14:paraId="38DC8215" w14:textId="77777777" w:rsidR="00C72CDF" w:rsidRDefault="00C72CD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DBF5" w14:textId="77777777" w:rsidR="00C72CDF" w:rsidRDefault="00C72CDF" w:rsidP="00DB39FD">
      <w:r>
        <w:separator/>
      </w:r>
    </w:p>
  </w:footnote>
  <w:footnote w:type="continuationSeparator" w:id="0">
    <w:p w14:paraId="62F77315" w14:textId="77777777" w:rsidR="00C72CDF" w:rsidRDefault="00C72CD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74EE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4CC109" wp14:editId="4596348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012C"/>
    <w:rsid w:val="00011B9E"/>
    <w:rsid w:val="000201E8"/>
    <w:rsid w:val="00040F45"/>
    <w:rsid w:val="00055297"/>
    <w:rsid w:val="0006351F"/>
    <w:rsid w:val="000A44E2"/>
    <w:rsid w:val="001910C4"/>
    <w:rsid w:val="001B348B"/>
    <w:rsid w:val="001C6CDB"/>
    <w:rsid w:val="001D30E4"/>
    <w:rsid w:val="001F387D"/>
    <w:rsid w:val="00257A62"/>
    <w:rsid w:val="00316A84"/>
    <w:rsid w:val="003269C7"/>
    <w:rsid w:val="003B1014"/>
    <w:rsid w:val="003F1913"/>
    <w:rsid w:val="0043557E"/>
    <w:rsid w:val="00560D41"/>
    <w:rsid w:val="0059524B"/>
    <w:rsid w:val="00595C44"/>
    <w:rsid w:val="005B7808"/>
    <w:rsid w:val="005C69AF"/>
    <w:rsid w:val="005D2CDD"/>
    <w:rsid w:val="00606E0A"/>
    <w:rsid w:val="00636ED9"/>
    <w:rsid w:val="00646DAC"/>
    <w:rsid w:val="00657A6A"/>
    <w:rsid w:val="00694EDC"/>
    <w:rsid w:val="007118DD"/>
    <w:rsid w:val="007353E0"/>
    <w:rsid w:val="00797B6A"/>
    <w:rsid w:val="007A4497"/>
    <w:rsid w:val="007A7F3C"/>
    <w:rsid w:val="007F16BC"/>
    <w:rsid w:val="0087615E"/>
    <w:rsid w:val="008763E5"/>
    <w:rsid w:val="008A3C28"/>
    <w:rsid w:val="008A6F9B"/>
    <w:rsid w:val="00964CCF"/>
    <w:rsid w:val="00966047"/>
    <w:rsid w:val="00986D6E"/>
    <w:rsid w:val="009874A9"/>
    <w:rsid w:val="009B10D0"/>
    <w:rsid w:val="009B713A"/>
    <w:rsid w:val="009C6531"/>
    <w:rsid w:val="00A1666B"/>
    <w:rsid w:val="00AB756C"/>
    <w:rsid w:val="00AF6103"/>
    <w:rsid w:val="00B1337B"/>
    <w:rsid w:val="00B200FE"/>
    <w:rsid w:val="00B216DF"/>
    <w:rsid w:val="00B417FF"/>
    <w:rsid w:val="00B77FCE"/>
    <w:rsid w:val="00B970A2"/>
    <w:rsid w:val="00BB07EE"/>
    <w:rsid w:val="00BB09F4"/>
    <w:rsid w:val="00C6227A"/>
    <w:rsid w:val="00C72CDF"/>
    <w:rsid w:val="00C842A6"/>
    <w:rsid w:val="00D0589D"/>
    <w:rsid w:val="00D1648B"/>
    <w:rsid w:val="00D341BD"/>
    <w:rsid w:val="00DA5B40"/>
    <w:rsid w:val="00DB39FD"/>
    <w:rsid w:val="00DC4C8B"/>
    <w:rsid w:val="00DE2A6E"/>
    <w:rsid w:val="00DF087F"/>
    <w:rsid w:val="00DF20ED"/>
    <w:rsid w:val="00E06AEE"/>
    <w:rsid w:val="00E97B85"/>
    <w:rsid w:val="00ED4A51"/>
    <w:rsid w:val="00F10D2A"/>
    <w:rsid w:val="00F2004A"/>
    <w:rsid w:val="00F34932"/>
    <w:rsid w:val="00F93D9C"/>
    <w:rsid w:val="00F963F0"/>
    <w:rsid w:val="00FA6BEE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A9E718"/>
  <w14:defaultImageDpi w14:val="300"/>
  <w15:docId w15:val="{5D33C476-7821-4FA5-8BB5-EFD555C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Jenny Belcher</cp:lastModifiedBy>
  <cp:revision>6</cp:revision>
  <dcterms:created xsi:type="dcterms:W3CDTF">2022-10-11T14:14:00Z</dcterms:created>
  <dcterms:modified xsi:type="dcterms:W3CDTF">2022-10-11T14:34:00Z</dcterms:modified>
</cp:coreProperties>
</file>