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2465050" cy="728663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5050" cy="7286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ab/>
        <w:tab/>
      </w:r>
      <w:hyperlink r:id="rId8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2231136" cy="731520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1136" cy="73152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color w:val="1155cc"/>
          <w:sz w:val="37"/>
          <w:szCs w:val="37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Smart QR code link:  </w:t>
      </w:r>
      <w:hyperlink r:id="rId10">
        <w:r w:rsidDel="00000000" w:rsidR="00000000" w:rsidRPr="00000000">
          <w:rPr>
            <w:b w:val="1"/>
            <w:color w:val="1155cc"/>
            <w:sz w:val="37"/>
            <w:szCs w:val="37"/>
            <w:rtl w:val="0"/>
          </w:rPr>
          <w:t xml:space="preserve">qrco.de/beGAWl</w:t>
        </w:r>
      </w:hyperlink>
      <w:r w:rsidDel="00000000" w:rsidR="00000000" w:rsidRPr="00000000">
        <w:rPr>
          <w:b w:val="1"/>
          <w:color w:val="1155cc"/>
          <w:sz w:val="37"/>
          <w:szCs w:val="3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ind w:left="-720" w:firstLine="0"/>
      <w:rPr>
        <w:color w:val="999999"/>
        <w:sz w:val="34"/>
        <w:szCs w:val="34"/>
      </w:rPr>
    </w:pPr>
    <w:r w:rsidDel="00000000" w:rsidR="00000000" w:rsidRPr="00000000">
      <w:rPr>
        <w:color w:val="999999"/>
        <w:sz w:val="34"/>
        <w:szCs w:val="34"/>
        <w:rtl w:val="0"/>
      </w:rPr>
      <w:t xml:space="preserve">| Hyperlinked buttons to download our mobile app. Can be shared with clients or used internally (for example, email signature) </w:t>
    </w:r>
    <w:r w:rsidDel="00000000" w:rsidR="00000000" w:rsidRPr="00000000">
      <w:rPr>
        <w:color w:val="999999"/>
        <w:sz w:val="34"/>
        <w:szCs w:val="34"/>
      </w:rPr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-14287</wp:posOffset>
              </wp:positionH>
              <wp:positionV relativeFrom="page">
                <wp:posOffset>-123824</wp:posOffset>
              </wp:positionV>
              <wp:extent cx="10372725" cy="190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1524000" y="0"/>
                        <a:ext cx="9144000" cy="36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AF66"/>
                          </a:gs>
                          <a:gs pos="50000">
                            <a:srgbClr val="7472B3"/>
                          </a:gs>
                          <a:gs pos="100000">
                            <a:srgbClr val="BB16A3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-14287</wp:posOffset>
              </wp:positionH>
              <wp:positionV relativeFrom="page">
                <wp:posOffset>-123824</wp:posOffset>
              </wp:positionV>
              <wp:extent cx="10372725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72725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qrco.de/beGAWl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com.brella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apps.apple.com/app/brella-io/id117844987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