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A01A" w14:textId="77777777" w:rsidR="00D84BC8" w:rsidRDefault="00D84BC8" w:rsidP="00475CCF">
      <w:pPr>
        <w:spacing w:after="0"/>
        <w:contextualSpacing/>
        <w:rPr>
          <w:rFonts w:ascii="Calibri" w:hAnsi="Calibri" w:cs="Calibri"/>
          <w:b/>
          <w:bCs/>
          <w:color w:val="00B6F1"/>
          <w:sz w:val="53"/>
          <w:szCs w:val="53"/>
        </w:rPr>
      </w:pPr>
    </w:p>
    <w:p w14:paraId="08CC8164" w14:textId="77777777" w:rsidR="00BD4CF1" w:rsidRPr="001E2CD2" w:rsidRDefault="00BD4CF1" w:rsidP="00BD4CF1">
      <w:pPr>
        <w:contextualSpacing/>
        <w:rPr>
          <w:rFonts w:cstheme="minorHAnsi"/>
          <w:b/>
          <w:bCs/>
          <w:color w:val="00B6F1"/>
          <w:sz w:val="53"/>
          <w:szCs w:val="53"/>
        </w:rPr>
      </w:pPr>
      <w:bookmarkStart w:id="0" w:name="Text1"/>
      <w:r w:rsidRPr="004E2E08">
        <w:rPr>
          <w:rFonts w:cstheme="minorHAnsi"/>
          <w:noProof/>
          <w:color w:val="009CDE"/>
        </w:rPr>
        <w:drawing>
          <wp:anchor distT="0" distB="0" distL="114300" distR="114300" simplePos="0" relativeHeight="251659264" behindDoc="0" locked="0" layoutInCell="1" allowOverlap="1" wp14:anchorId="323F154E" wp14:editId="3921100D">
            <wp:simplePos x="0" y="0"/>
            <wp:positionH relativeFrom="column">
              <wp:posOffset>4347845</wp:posOffset>
            </wp:positionH>
            <wp:positionV relativeFrom="page">
              <wp:posOffset>544195</wp:posOffset>
            </wp:positionV>
            <wp:extent cx="1781175" cy="1487805"/>
            <wp:effectExtent l="0" t="0" r="0" b="0"/>
            <wp:wrapThrough wrapText="bothSides">
              <wp:wrapPolygon edited="0">
                <wp:start x="16171" y="922"/>
                <wp:lineTo x="5852" y="3319"/>
                <wp:lineTo x="2464" y="3872"/>
                <wp:lineTo x="924" y="5163"/>
                <wp:lineTo x="1078" y="5900"/>
                <wp:lineTo x="4004" y="7191"/>
                <wp:lineTo x="1232" y="9035"/>
                <wp:lineTo x="1232" y="10141"/>
                <wp:lineTo x="3542" y="10141"/>
                <wp:lineTo x="2618" y="13091"/>
                <wp:lineTo x="462" y="14197"/>
                <wp:lineTo x="462" y="14750"/>
                <wp:lineTo x="2156" y="16041"/>
                <wp:lineTo x="1848" y="18254"/>
                <wp:lineTo x="2618" y="18991"/>
                <wp:lineTo x="5082" y="18991"/>
                <wp:lineTo x="4004" y="19913"/>
                <wp:lineTo x="4466" y="21019"/>
                <wp:lineTo x="5236" y="21019"/>
                <wp:lineTo x="14477" y="20650"/>
                <wp:lineTo x="18327" y="20097"/>
                <wp:lineTo x="18173" y="18991"/>
                <wp:lineTo x="19559" y="18254"/>
                <wp:lineTo x="19559" y="17332"/>
                <wp:lineTo x="18173" y="16041"/>
                <wp:lineTo x="19405" y="13091"/>
                <wp:lineTo x="19867" y="7191"/>
                <wp:lineTo x="21253" y="4609"/>
                <wp:lineTo x="20637" y="4241"/>
                <wp:lineTo x="17557" y="4241"/>
                <wp:lineTo x="20175" y="2397"/>
                <wp:lineTo x="20021" y="922"/>
                <wp:lineTo x="16171" y="922"/>
              </wp:wrapPolygon>
            </wp:wrapThrough>
            <wp:docPr id="3" name="Picture 3" descr="A group of colorful fish swimming arou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olorful fish swimming around a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3" b="9284"/>
                    <a:stretch/>
                  </pic:blipFill>
                  <pic:spPr bwMode="auto">
                    <a:xfrm>
                      <a:off x="0" y="0"/>
                      <a:ext cx="17811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E08">
        <w:rPr>
          <w:rFonts w:cstheme="minorHAnsi"/>
          <w:b/>
          <w:bCs/>
          <w:color w:val="009CDE"/>
          <w:sz w:val="53"/>
          <w:szCs w:val="53"/>
        </w:rPr>
        <w:t>DEMA SHOW 2024</w:t>
      </w:r>
    </w:p>
    <w:p w14:paraId="288C87B6" w14:textId="64760B48" w:rsidR="00BD4CF1" w:rsidRPr="004E2E08" w:rsidRDefault="00BD4CF1" w:rsidP="00BD4CF1">
      <w:pPr>
        <w:contextualSpacing/>
        <w:rPr>
          <w:rFonts w:cstheme="minorHAnsi"/>
          <w:b/>
          <w:bCs/>
          <w:color w:val="F05B74"/>
          <w:sz w:val="48"/>
          <w:szCs w:val="48"/>
        </w:rPr>
      </w:pPr>
      <w:r>
        <w:rPr>
          <w:rFonts w:cstheme="minorHAnsi"/>
          <w:b/>
          <w:bCs/>
          <w:color w:val="F05B74"/>
          <w:sz w:val="48"/>
          <w:szCs w:val="48"/>
        </w:rPr>
        <w:t>Top Reasons to</w:t>
      </w:r>
      <w:r w:rsidRPr="004E2E08">
        <w:rPr>
          <w:rFonts w:cstheme="minorHAnsi"/>
          <w:b/>
          <w:bCs/>
          <w:color w:val="F05B74"/>
          <w:sz w:val="48"/>
          <w:szCs w:val="48"/>
        </w:rPr>
        <w:t xml:space="preserve"> </w:t>
      </w:r>
      <w:r>
        <w:rPr>
          <w:rFonts w:cstheme="minorHAnsi"/>
          <w:b/>
          <w:bCs/>
          <w:color w:val="F05B74"/>
          <w:sz w:val="48"/>
          <w:szCs w:val="48"/>
        </w:rPr>
        <w:t>Attend</w:t>
      </w:r>
    </w:p>
    <w:p w14:paraId="3067F20D" w14:textId="77777777" w:rsidR="00475CCF" w:rsidRDefault="00475CCF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bookmarkEnd w:id="0"/>
    <w:p w14:paraId="43FED8CD" w14:textId="77777777" w:rsidR="004E130F" w:rsidRDefault="004E130F" w:rsidP="004E130F">
      <w:pPr>
        <w:pStyle w:val="ORACLECOPYDECK"/>
        <w:spacing w:line="240" w:lineRule="auto"/>
        <w:contextualSpacing/>
        <w:rPr>
          <w:rFonts w:ascii="Calibri" w:hAnsi="Calibri" w:cs="Calibri"/>
        </w:rPr>
      </w:pPr>
    </w:p>
    <w:p w14:paraId="3BA9DD83" w14:textId="2C3E3219" w:rsidR="004E130F" w:rsidRPr="004E130F" w:rsidRDefault="004E130F" w:rsidP="004E130F">
      <w:pPr>
        <w:pStyle w:val="ORACLECOPYDECK"/>
        <w:contextualSpacing/>
        <w:rPr>
          <w:rFonts w:asciiTheme="minorHAnsi" w:hAnsiTheme="minorHAnsi" w:cs="Arial"/>
          <w:sz w:val="24"/>
          <w:szCs w:val="24"/>
        </w:rPr>
      </w:pPr>
      <w:r w:rsidRPr="004E130F">
        <w:rPr>
          <w:rFonts w:asciiTheme="minorHAnsi" w:hAnsiTheme="minorHAnsi" w:cs="Arial"/>
          <w:sz w:val="24"/>
          <w:szCs w:val="24"/>
        </w:rPr>
        <w:t>Attending</w:t>
      </w:r>
      <w:r w:rsidR="003063A4">
        <w:rPr>
          <w:rFonts w:asciiTheme="minorHAnsi" w:hAnsiTheme="minorHAnsi" w:cs="Arial"/>
          <w:sz w:val="24"/>
          <w:szCs w:val="24"/>
        </w:rPr>
        <w:t xml:space="preserve"> </w:t>
      </w:r>
      <w:r w:rsidR="003063A4" w:rsidRPr="003063A4">
        <w:rPr>
          <w:rFonts w:asciiTheme="minorHAnsi" w:hAnsiTheme="minorHAnsi" w:cs="Arial"/>
          <w:b/>
          <w:bCs/>
          <w:color w:val="009CDE"/>
          <w:sz w:val="24"/>
          <w:szCs w:val="24"/>
        </w:rPr>
        <w:t>DEMA Show</w:t>
      </w:r>
      <w:r w:rsidRPr="003063A4">
        <w:rPr>
          <w:rFonts w:asciiTheme="minorHAnsi" w:hAnsiTheme="minorHAnsi" w:cs="Arial"/>
          <w:color w:val="009CDE"/>
          <w:sz w:val="24"/>
          <w:szCs w:val="24"/>
        </w:rPr>
        <w:t xml:space="preserve"> </w:t>
      </w:r>
      <w:r w:rsidRPr="004E130F">
        <w:rPr>
          <w:rFonts w:asciiTheme="minorHAnsi" w:hAnsiTheme="minorHAnsi" w:cs="Arial"/>
          <w:sz w:val="24"/>
          <w:szCs w:val="24"/>
        </w:rPr>
        <w:t>offer</w:t>
      </w:r>
      <w:r>
        <w:rPr>
          <w:rFonts w:asciiTheme="minorHAnsi" w:hAnsiTheme="minorHAnsi" w:cs="Arial"/>
          <w:sz w:val="24"/>
          <w:szCs w:val="24"/>
        </w:rPr>
        <w:t>s</w:t>
      </w:r>
      <w:r w:rsidRPr="004E130F">
        <w:rPr>
          <w:rFonts w:asciiTheme="minorHAnsi" w:hAnsiTheme="minorHAnsi" w:cs="Arial"/>
          <w:sz w:val="24"/>
          <w:szCs w:val="24"/>
        </w:rPr>
        <w:t xml:space="preserve"> numerous benefits and opportunities</w:t>
      </w:r>
      <w:r w:rsidR="003063A4">
        <w:rPr>
          <w:rFonts w:asciiTheme="minorHAnsi" w:hAnsiTheme="minorHAnsi" w:cs="Arial"/>
          <w:sz w:val="24"/>
          <w:szCs w:val="24"/>
        </w:rPr>
        <w:t xml:space="preserve"> for professionals in the diving, travel, and action water sports industry, including but not limited to:</w:t>
      </w:r>
    </w:p>
    <w:p w14:paraId="568CA3A3" w14:textId="77777777" w:rsidR="003063A4" w:rsidRDefault="003063A4" w:rsidP="004E130F">
      <w:pPr>
        <w:pStyle w:val="ORACLECOPYDECK"/>
        <w:spacing w:line="240" w:lineRule="auto"/>
        <w:contextualSpacing/>
        <w:rPr>
          <w:rFonts w:asciiTheme="minorHAnsi" w:hAnsiTheme="minorHAnsi" w:cs="Arial"/>
          <w:b/>
          <w:bCs/>
          <w:sz w:val="24"/>
          <w:szCs w:val="24"/>
        </w:rPr>
      </w:pPr>
    </w:p>
    <w:p w14:paraId="3B9DE464" w14:textId="509818D0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t>Networking:</w:t>
      </w:r>
      <w:r w:rsidRPr="003063A4">
        <w:rPr>
          <w:rFonts w:asciiTheme="minorHAnsi" w:hAnsiTheme="minorHAnsi"/>
          <w:sz w:val="24"/>
          <w:szCs w:val="24"/>
        </w:rPr>
        <w:t xml:space="preserve"> DEMA Show provides unparalleled networking opportunities with industry professionals, manufacturers, suppliers, and experts in the industry, fostering collaborations and partnerships.</w:t>
      </w:r>
      <w:r>
        <w:rPr>
          <w:rFonts w:asciiTheme="minorHAnsi" w:hAnsiTheme="minorHAnsi"/>
          <w:sz w:val="24"/>
          <w:szCs w:val="24"/>
        </w:rPr>
        <w:br/>
      </w:r>
    </w:p>
    <w:p w14:paraId="334FA85F" w14:textId="519F3288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t>Access to the Latest Innovations:</w:t>
      </w:r>
      <w:r w:rsidRPr="003063A4">
        <w:rPr>
          <w:rFonts w:asciiTheme="minorHAnsi" w:hAnsiTheme="minorHAnsi"/>
          <w:sz w:val="24"/>
          <w:szCs w:val="24"/>
        </w:rPr>
        <w:t xml:space="preserve"> Attendees can explore the latest advancements in diving equipment, technologies, and services showcased by leading manufacturers and suppliers, staying ahead of industry trends.</w:t>
      </w:r>
      <w:r>
        <w:rPr>
          <w:rFonts w:asciiTheme="minorHAnsi" w:hAnsiTheme="minorHAnsi"/>
          <w:sz w:val="24"/>
          <w:szCs w:val="24"/>
        </w:rPr>
        <w:br/>
      </w:r>
    </w:p>
    <w:p w14:paraId="11FB0866" w14:textId="5D7E33CE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t>Educational Insights:</w:t>
      </w:r>
      <w:r w:rsidRPr="003063A4">
        <w:rPr>
          <w:rFonts w:asciiTheme="minorHAnsi" w:hAnsiTheme="minorHAnsi"/>
          <w:sz w:val="24"/>
          <w:szCs w:val="24"/>
        </w:rPr>
        <w:t xml:space="preserve"> DEMA Show features </w:t>
      </w:r>
      <w:r>
        <w:rPr>
          <w:rFonts w:asciiTheme="minorHAnsi" w:hAnsiTheme="minorHAnsi"/>
          <w:sz w:val="24"/>
          <w:szCs w:val="24"/>
        </w:rPr>
        <w:t>hundreds of diverse education</w:t>
      </w:r>
      <w:r w:rsidRPr="003063A4">
        <w:rPr>
          <w:rFonts w:asciiTheme="minorHAnsi" w:hAnsiTheme="minorHAnsi"/>
          <w:sz w:val="24"/>
          <w:szCs w:val="24"/>
        </w:rPr>
        <w:t xml:space="preserve"> sessions, workshops, and presentations led by experts</w:t>
      </w:r>
      <w:r>
        <w:rPr>
          <w:rFonts w:asciiTheme="minorHAnsi" w:hAnsiTheme="minorHAnsi"/>
          <w:sz w:val="24"/>
          <w:szCs w:val="24"/>
        </w:rPr>
        <w:t xml:space="preserve"> in their fields</w:t>
      </w:r>
      <w:r w:rsidRPr="003063A4">
        <w:rPr>
          <w:rFonts w:asciiTheme="minorHAnsi" w:hAnsiTheme="minorHAnsi"/>
          <w:sz w:val="24"/>
          <w:szCs w:val="24"/>
        </w:rPr>
        <w:t xml:space="preserve">, covering a wide range of topics including dive safety, </w:t>
      </w:r>
      <w:r>
        <w:rPr>
          <w:rFonts w:asciiTheme="minorHAnsi" w:hAnsiTheme="minorHAnsi"/>
          <w:sz w:val="24"/>
          <w:szCs w:val="24"/>
        </w:rPr>
        <w:t>marketing best practices</w:t>
      </w:r>
      <w:r w:rsidRPr="003063A4">
        <w:rPr>
          <w:rFonts w:asciiTheme="minorHAnsi" w:hAnsiTheme="minorHAnsi"/>
          <w:sz w:val="24"/>
          <w:szCs w:val="24"/>
        </w:rPr>
        <w:t>, business management</w:t>
      </w:r>
      <w:r>
        <w:rPr>
          <w:rFonts w:asciiTheme="minorHAnsi" w:hAnsiTheme="minorHAnsi"/>
          <w:sz w:val="24"/>
          <w:szCs w:val="24"/>
        </w:rPr>
        <w:t>, and more</w:t>
      </w:r>
      <w:r w:rsidRPr="003063A4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br/>
      </w:r>
    </w:p>
    <w:p w14:paraId="667DFA42" w14:textId="195A72E9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t>Product Comparisons:</w:t>
      </w:r>
      <w:r w:rsidRPr="003063A4">
        <w:rPr>
          <w:rFonts w:asciiTheme="minorHAnsi" w:hAnsiTheme="minorHAnsi"/>
          <w:sz w:val="24"/>
          <w:szCs w:val="24"/>
        </w:rPr>
        <w:t xml:space="preserve"> Attendees can directly compare different products and services from various exhibitors, enabling informed decision-making on purchases and investments.</w:t>
      </w:r>
      <w:r>
        <w:rPr>
          <w:rFonts w:asciiTheme="minorHAnsi" w:hAnsiTheme="minorHAnsi"/>
          <w:sz w:val="24"/>
          <w:szCs w:val="24"/>
        </w:rPr>
        <w:br/>
      </w:r>
    </w:p>
    <w:p w14:paraId="09F6A194" w14:textId="4D8B3A88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t>Professional Development:</w:t>
      </w:r>
      <w:r w:rsidRPr="003063A4">
        <w:rPr>
          <w:rFonts w:asciiTheme="minorHAnsi" w:hAnsiTheme="minorHAnsi"/>
          <w:sz w:val="24"/>
          <w:szCs w:val="24"/>
        </w:rPr>
        <w:t xml:space="preserve"> Participation in DEMA Show offers opportunities for professional growth and skill development through workshops, certification courses, and industry-specific training sessions.</w:t>
      </w:r>
      <w:r>
        <w:rPr>
          <w:rFonts w:asciiTheme="minorHAnsi" w:hAnsiTheme="minorHAnsi"/>
          <w:sz w:val="24"/>
          <w:szCs w:val="24"/>
        </w:rPr>
        <w:br/>
      </w:r>
    </w:p>
    <w:p w14:paraId="55A157F2" w14:textId="31F17C98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t>Business Expansion:</w:t>
      </w:r>
      <w:r w:rsidRPr="003063A4">
        <w:rPr>
          <w:rFonts w:asciiTheme="minorHAnsi" w:hAnsiTheme="minorHAnsi"/>
          <w:sz w:val="24"/>
          <w:szCs w:val="24"/>
        </w:rPr>
        <w:t xml:space="preserve"> DEMA Show </w:t>
      </w:r>
      <w:r>
        <w:rPr>
          <w:rFonts w:asciiTheme="minorHAnsi" w:hAnsiTheme="minorHAnsi"/>
          <w:sz w:val="24"/>
          <w:szCs w:val="24"/>
        </w:rPr>
        <w:t>is</w:t>
      </w:r>
      <w:r w:rsidRPr="003063A4">
        <w:rPr>
          <w:rFonts w:asciiTheme="minorHAnsi" w:hAnsiTheme="minorHAnsi"/>
          <w:sz w:val="24"/>
          <w:szCs w:val="24"/>
        </w:rPr>
        <w:t xml:space="preserve"> a strategic platform for expanding business networks, exploring new markets, and identifying potential clients, distributors, and collaborators.</w:t>
      </w:r>
      <w:r>
        <w:rPr>
          <w:rFonts w:asciiTheme="minorHAnsi" w:hAnsiTheme="minorHAnsi"/>
          <w:sz w:val="24"/>
          <w:szCs w:val="24"/>
        </w:rPr>
        <w:br/>
      </w:r>
    </w:p>
    <w:p w14:paraId="29B7CD0F" w14:textId="1845A199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t>Industry Insights:</w:t>
      </w:r>
      <w:r w:rsidRPr="003063A4">
        <w:rPr>
          <w:rFonts w:asciiTheme="minorHAnsi" w:hAnsiTheme="minorHAnsi"/>
          <w:sz w:val="24"/>
          <w:szCs w:val="24"/>
        </w:rPr>
        <w:t xml:space="preserve"> By attending DEMA Show, participants gain insights into emerging trends, challenges, and opportunities in the industry, informing strategic decision-making and business planning.</w:t>
      </w:r>
      <w:r>
        <w:rPr>
          <w:rFonts w:asciiTheme="minorHAnsi" w:hAnsiTheme="minorHAnsi"/>
          <w:sz w:val="24"/>
          <w:szCs w:val="24"/>
        </w:rPr>
        <w:br/>
      </w:r>
    </w:p>
    <w:p w14:paraId="0B4292BE" w14:textId="42551DE8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t>Sustainability Initiatives:</w:t>
      </w:r>
      <w:r w:rsidRPr="003063A4">
        <w:rPr>
          <w:rFonts w:asciiTheme="minorHAnsi" w:hAnsiTheme="minorHAnsi"/>
          <w:sz w:val="24"/>
          <w:szCs w:val="24"/>
        </w:rPr>
        <w:t xml:space="preserve"> DEMA Show highlights sustainable diving practices, eco-friendly products, and conservation efforts, providing attendees with insights into adopting greener solutions and reducing environmental impact.</w:t>
      </w:r>
      <w:r>
        <w:rPr>
          <w:rFonts w:asciiTheme="minorHAnsi" w:hAnsiTheme="minorHAnsi"/>
          <w:sz w:val="24"/>
          <w:szCs w:val="24"/>
        </w:rPr>
        <w:br/>
      </w:r>
    </w:p>
    <w:p w14:paraId="140431C8" w14:textId="77777777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t>Collaboration and Partnership Building:</w:t>
      </w:r>
      <w:r w:rsidRPr="003063A4">
        <w:rPr>
          <w:rFonts w:asciiTheme="minorHAnsi" w:hAnsiTheme="minorHAnsi"/>
          <w:sz w:val="24"/>
          <w:szCs w:val="24"/>
        </w:rPr>
        <w:t xml:space="preserve"> DEMA Show facilitates collaboration and partnership building among diving professionals, organizations, and stakeholders, fostering innovation and growth within the industry.</w:t>
      </w:r>
    </w:p>
    <w:p w14:paraId="7A82BBD3" w14:textId="30F69251" w:rsidR="003063A4" w:rsidRPr="003063A4" w:rsidRDefault="003063A4" w:rsidP="003063A4">
      <w:pPr>
        <w:pStyle w:val="ORACLECOPYDECK"/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3063A4">
        <w:rPr>
          <w:rFonts w:asciiTheme="minorHAnsi" w:hAnsiTheme="minorHAnsi"/>
          <w:b/>
          <w:bCs/>
          <w:sz w:val="24"/>
          <w:szCs w:val="24"/>
        </w:rPr>
        <w:lastRenderedPageBreak/>
        <w:t>Exposure to Global Market Trends:</w:t>
      </w:r>
      <w:r w:rsidRPr="003063A4">
        <w:rPr>
          <w:rFonts w:asciiTheme="minorHAnsi" w:hAnsiTheme="minorHAnsi"/>
          <w:sz w:val="24"/>
          <w:szCs w:val="24"/>
        </w:rPr>
        <w:t xml:space="preserve"> Attendees gain exposure to global market trends, regulatory developments, and best practices, </w:t>
      </w:r>
      <w:r>
        <w:rPr>
          <w:rFonts w:asciiTheme="minorHAnsi" w:hAnsiTheme="minorHAnsi"/>
          <w:sz w:val="24"/>
          <w:szCs w:val="24"/>
        </w:rPr>
        <w:t>sharpening</w:t>
      </w:r>
      <w:r w:rsidRPr="003063A4">
        <w:rPr>
          <w:rFonts w:asciiTheme="minorHAnsi" w:hAnsiTheme="minorHAnsi"/>
          <w:sz w:val="24"/>
          <w:szCs w:val="24"/>
        </w:rPr>
        <w:t xml:space="preserve"> their competitive edge and </w:t>
      </w:r>
      <w:r>
        <w:rPr>
          <w:rFonts w:asciiTheme="minorHAnsi" w:hAnsiTheme="minorHAnsi"/>
          <w:sz w:val="24"/>
          <w:szCs w:val="24"/>
        </w:rPr>
        <w:t xml:space="preserve">enhancing their </w:t>
      </w:r>
      <w:r w:rsidRPr="003063A4">
        <w:rPr>
          <w:rFonts w:asciiTheme="minorHAnsi" w:hAnsiTheme="minorHAnsi"/>
          <w:sz w:val="24"/>
          <w:szCs w:val="24"/>
        </w:rPr>
        <w:t>positioning within the diving industry.</w:t>
      </w:r>
    </w:p>
    <w:p w14:paraId="52DE6F74" w14:textId="77777777" w:rsidR="003063A4" w:rsidRDefault="003063A4" w:rsidP="004E130F">
      <w:pPr>
        <w:pStyle w:val="ORACLECOPYDECK"/>
        <w:spacing w:line="240" w:lineRule="auto"/>
        <w:contextualSpacing/>
        <w:rPr>
          <w:rFonts w:asciiTheme="minorHAnsi" w:hAnsiTheme="minorHAnsi" w:cs="Arial"/>
          <w:b/>
          <w:bCs/>
          <w:sz w:val="24"/>
          <w:szCs w:val="24"/>
        </w:rPr>
      </w:pPr>
    </w:p>
    <w:p w14:paraId="1F3FF23B" w14:textId="12BD9231" w:rsidR="004E130F" w:rsidRPr="004E130F" w:rsidRDefault="009D2C86" w:rsidP="004E130F">
      <w:pPr>
        <w:pStyle w:val="ORACLECOPYDECK"/>
        <w:spacing w:line="240" w:lineRule="auto"/>
        <w:contextualSpacing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benefits of</w:t>
      </w:r>
      <w:r w:rsidR="004E130F" w:rsidRPr="004E130F">
        <w:rPr>
          <w:rFonts w:asciiTheme="minorHAnsi" w:hAnsiTheme="minorHAnsi" w:cs="Arial"/>
          <w:sz w:val="24"/>
          <w:szCs w:val="24"/>
        </w:rPr>
        <w:t xml:space="preserve"> attending </w:t>
      </w:r>
      <w:r w:rsidR="003063A4">
        <w:rPr>
          <w:rFonts w:asciiTheme="minorHAnsi" w:hAnsiTheme="minorHAnsi" w:cs="Arial"/>
          <w:sz w:val="24"/>
          <w:szCs w:val="24"/>
        </w:rPr>
        <w:t xml:space="preserve">DEMA Show </w:t>
      </w:r>
      <w:r w:rsidR="004E130F" w:rsidRPr="004E130F">
        <w:rPr>
          <w:rFonts w:asciiTheme="minorHAnsi" w:hAnsiTheme="minorHAnsi" w:cs="Arial"/>
          <w:sz w:val="24"/>
          <w:szCs w:val="24"/>
        </w:rPr>
        <w:t xml:space="preserve">can vary based on individual goals and interests. Whether you're looking to learn, </w:t>
      </w:r>
      <w:r w:rsidR="003063A4">
        <w:rPr>
          <w:rFonts w:asciiTheme="minorHAnsi" w:hAnsiTheme="minorHAnsi" w:cs="Arial"/>
          <w:sz w:val="24"/>
          <w:szCs w:val="24"/>
        </w:rPr>
        <w:t xml:space="preserve">shop, </w:t>
      </w:r>
      <w:r w:rsidR="004E130F" w:rsidRPr="004E130F">
        <w:rPr>
          <w:rFonts w:asciiTheme="minorHAnsi" w:hAnsiTheme="minorHAnsi" w:cs="Arial"/>
          <w:sz w:val="24"/>
          <w:szCs w:val="24"/>
        </w:rPr>
        <w:t>network, explore innovations, or stay updated on industry trends, th</w:t>
      </w:r>
      <w:r>
        <w:rPr>
          <w:rFonts w:asciiTheme="minorHAnsi" w:hAnsiTheme="minorHAnsi" w:cs="Arial"/>
          <w:sz w:val="24"/>
          <w:szCs w:val="24"/>
        </w:rPr>
        <w:t>is event</w:t>
      </w:r>
      <w:r w:rsidR="004E130F" w:rsidRPr="004E130F">
        <w:rPr>
          <w:rFonts w:asciiTheme="minorHAnsi" w:hAnsiTheme="minorHAnsi" w:cs="Arial"/>
          <w:sz w:val="24"/>
          <w:szCs w:val="24"/>
        </w:rPr>
        <w:t xml:space="preserve"> offers a comprehensive platform to achieve </w:t>
      </w:r>
      <w:r w:rsidR="003063A4">
        <w:rPr>
          <w:rFonts w:asciiTheme="minorHAnsi" w:hAnsiTheme="minorHAnsi" w:cs="Arial"/>
          <w:sz w:val="24"/>
          <w:szCs w:val="24"/>
        </w:rPr>
        <w:t>your</w:t>
      </w:r>
      <w:r w:rsidR="004E130F" w:rsidRPr="004E130F">
        <w:rPr>
          <w:rFonts w:asciiTheme="minorHAnsi" w:hAnsiTheme="minorHAnsi" w:cs="Arial"/>
          <w:sz w:val="24"/>
          <w:szCs w:val="24"/>
        </w:rPr>
        <w:t xml:space="preserve"> </w:t>
      </w:r>
      <w:r w:rsidR="003063A4">
        <w:rPr>
          <w:rFonts w:asciiTheme="minorHAnsi" w:hAnsiTheme="minorHAnsi" w:cs="Arial"/>
          <w:sz w:val="24"/>
          <w:szCs w:val="24"/>
        </w:rPr>
        <w:t>goals</w:t>
      </w:r>
      <w:r w:rsidR="004E130F" w:rsidRPr="004E130F">
        <w:rPr>
          <w:rFonts w:asciiTheme="minorHAnsi" w:hAnsiTheme="minorHAnsi" w:cs="Arial"/>
          <w:sz w:val="24"/>
          <w:szCs w:val="24"/>
        </w:rPr>
        <w:t>.</w:t>
      </w:r>
    </w:p>
    <w:sectPr w:rsidR="004E130F" w:rsidRPr="004E130F" w:rsidSect="00AE6C0E">
      <w:foot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77D3" w14:textId="77777777" w:rsidR="00AE6C0E" w:rsidRDefault="00AE6C0E" w:rsidP="009F1E4A">
      <w:pPr>
        <w:spacing w:after="0"/>
      </w:pPr>
      <w:r>
        <w:separator/>
      </w:r>
    </w:p>
  </w:endnote>
  <w:endnote w:type="continuationSeparator" w:id="0">
    <w:p w14:paraId="79535715" w14:textId="77777777" w:rsidR="00AE6C0E" w:rsidRDefault="00AE6C0E" w:rsidP="009F1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5090" w14:textId="62F9EDD5" w:rsidR="009B7E43" w:rsidRPr="003063A4" w:rsidRDefault="003063A4" w:rsidP="003063A4">
    <w:pPr>
      <w:pStyle w:val="Footer"/>
      <w:pBdr>
        <w:top w:val="single" w:sz="4" w:space="1" w:color="auto"/>
      </w:pBdr>
      <w:rPr>
        <w:rFonts w:ascii="Calibri" w:hAnsi="Calibri" w:cs="Calibri"/>
      </w:rPr>
    </w:pPr>
    <w:r w:rsidRPr="009F2D63">
      <w:rPr>
        <w:rFonts w:ascii="Calibri" w:hAnsi="Calibri" w:cs="Calibri"/>
      </w:rPr>
      <w:t>D</w:t>
    </w:r>
    <w:r>
      <w:rPr>
        <w:rFonts w:ascii="Calibri" w:hAnsi="Calibri" w:cs="Calibri"/>
      </w:rPr>
      <w:t>EMA Show 2024</w:t>
    </w:r>
    <w:r w:rsidRPr="00D84BC8">
      <w:rPr>
        <w:rFonts w:ascii="Calibri" w:hAnsi="Calibri" w:cs="Calibri"/>
      </w:rPr>
      <w:t xml:space="preserve"> | </w:t>
    </w:r>
    <w:r>
      <w:rPr>
        <w:rFonts w:ascii="Calibri" w:hAnsi="Calibri" w:cs="Calibri"/>
      </w:rPr>
      <w:t>November 19–22</w:t>
    </w:r>
    <w:r w:rsidRPr="00D84BC8">
      <w:rPr>
        <w:rFonts w:ascii="Calibri" w:hAnsi="Calibri" w:cs="Calibri"/>
      </w:rPr>
      <w:t>, 202</w:t>
    </w:r>
    <w:r>
      <w:rPr>
        <w:rFonts w:ascii="Calibri" w:hAnsi="Calibri" w:cs="Calibri"/>
      </w:rPr>
      <w:t>4</w:t>
    </w:r>
    <w:r w:rsidRPr="00D84BC8">
      <w:rPr>
        <w:rFonts w:ascii="Calibri" w:hAnsi="Calibri" w:cs="Calibri"/>
      </w:rPr>
      <w:t xml:space="preserve"> | </w:t>
    </w:r>
    <w:r>
      <w:rPr>
        <w:rFonts w:ascii="Calibri" w:hAnsi="Calibri" w:cs="Calibri"/>
      </w:rPr>
      <w:t>Las Vegas Convention Center, Las Vegas, Nevada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786A" w14:textId="77777777" w:rsidR="00AE6C0E" w:rsidRDefault="00AE6C0E" w:rsidP="009F1E4A">
      <w:pPr>
        <w:spacing w:after="0"/>
      </w:pPr>
      <w:r>
        <w:separator/>
      </w:r>
    </w:p>
  </w:footnote>
  <w:footnote w:type="continuationSeparator" w:id="0">
    <w:p w14:paraId="69CC1FFE" w14:textId="77777777" w:rsidR="00AE6C0E" w:rsidRDefault="00AE6C0E" w:rsidP="009F1E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205"/>
    <w:multiLevelType w:val="hybridMultilevel"/>
    <w:tmpl w:val="33025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4A4"/>
    <w:multiLevelType w:val="hybridMultilevel"/>
    <w:tmpl w:val="75C209AA"/>
    <w:lvl w:ilvl="0" w:tplc="1CE02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3355"/>
    <w:multiLevelType w:val="hybridMultilevel"/>
    <w:tmpl w:val="21E8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91382"/>
    <w:multiLevelType w:val="hybridMultilevel"/>
    <w:tmpl w:val="BB822458"/>
    <w:lvl w:ilvl="0" w:tplc="C1A2E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33B9"/>
    <w:multiLevelType w:val="hybridMultilevel"/>
    <w:tmpl w:val="0150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F599B"/>
    <w:multiLevelType w:val="multilevel"/>
    <w:tmpl w:val="97A2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243938">
    <w:abstractNumId w:val="4"/>
  </w:num>
  <w:num w:numId="2" w16cid:durableId="1643654945">
    <w:abstractNumId w:val="0"/>
  </w:num>
  <w:num w:numId="3" w16cid:durableId="679281942">
    <w:abstractNumId w:val="2"/>
  </w:num>
  <w:num w:numId="4" w16cid:durableId="414475554">
    <w:abstractNumId w:val="1"/>
  </w:num>
  <w:num w:numId="5" w16cid:durableId="419563875">
    <w:abstractNumId w:val="3"/>
  </w:num>
  <w:num w:numId="6" w16cid:durableId="2000771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10"/>
    <w:rsid w:val="000366A9"/>
    <w:rsid w:val="00046F61"/>
    <w:rsid w:val="001769D0"/>
    <w:rsid w:val="002310AF"/>
    <w:rsid w:val="00263D4B"/>
    <w:rsid w:val="002829EC"/>
    <w:rsid w:val="003063A4"/>
    <w:rsid w:val="003A15B1"/>
    <w:rsid w:val="003E378C"/>
    <w:rsid w:val="00404A62"/>
    <w:rsid w:val="00424336"/>
    <w:rsid w:val="00475CCF"/>
    <w:rsid w:val="004C5E28"/>
    <w:rsid w:val="004D60F9"/>
    <w:rsid w:val="004E130F"/>
    <w:rsid w:val="004F4786"/>
    <w:rsid w:val="0055730C"/>
    <w:rsid w:val="00565804"/>
    <w:rsid w:val="005F536E"/>
    <w:rsid w:val="006A3DEC"/>
    <w:rsid w:val="006B36A0"/>
    <w:rsid w:val="00737A3A"/>
    <w:rsid w:val="00805410"/>
    <w:rsid w:val="00876655"/>
    <w:rsid w:val="008F1E20"/>
    <w:rsid w:val="009632D0"/>
    <w:rsid w:val="009B7E43"/>
    <w:rsid w:val="009D2C86"/>
    <w:rsid w:val="009F1E4A"/>
    <w:rsid w:val="00A14238"/>
    <w:rsid w:val="00A560E8"/>
    <w:rsid w:val="00A637D5"/>
    <w:rsid w:val="00AE6C0E"/>
    <w:rsid w:val="00B4079C"/>
    <w:rsid w:val="00B94390"/>
    <w:rsid w:val="00BD4CF1"/>
    <w:rsid w:val="00C238ED"/>
    <w:rsid w:val="00D741B2"/>
    <w:rsid w:val="00D84BC8"/>
    <w:rsid w:val="00DB59DE"/>
    <w:rsid w:val="00DC2DC0"/>
    <w:rsid w:val="00DF3EC9"/>
    <w:rsid w:val="00E132F3"/>
    <w:rsid w:val="00E30D22"/>
    <w:rsid w:val="00F04DC0"/>
    <w:rsid w:val="00F36103"/>
    <w:rsid w:val="00F92927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F456"/>
  <w15:chartTrackingRefBased/>
  <w15:docId w15:val="{42487D08-D0C2-439F-8DC2-55BE992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10"/>
    <w:pPr>
      <w:spacing w:after="200" w:line="240" w:lineRule="auto"/>
    </w:pPr>
    <w:rPr>
      <w:rFonts w:ascii="Arial" w:hAnsi="Arial" w:cs="Arial"/>
      <w:color w:val="2222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CLECOPYDECK">
    <w:name w:val="ORACLE COPY DECK"/>
    <w:basedOn w:val="Normal"/>
    <w:rsid w:val="00805410"/>
    <w:pPr>
      <w:spacing w:after="0" w:line="30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54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5410"/>
    <w:rPr>
      <w:rFonts w:ascii="Arial" w:hAnsi="Arial" w:cs="Arial"/>
      <w:color w:val="2222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5410"/>
    <w:rPr>
      <w:rFonts w:ascii="Arial" w:hAnsi="Arial" w:cs="Arial"/>
      <w:color w:val="222222"/>
      <w:szCs w:val="22"/>
    </w:rPr>
  </w:style>
  <w:style w:type="character" w:styleId="Strong">
    <w:name w:val="Strong"/>
    <w:basedOn w:val="DefaultParagraphFont"/>
    <w:uiPriority w:val="22"/>
    <w:qFormat/>
    <w:rsid w:val="00805410"/>
    <w:rPr>
      <w:b/>
      <w:bCs/>
    </w:rPr>
  </w:style>
  <w:style w:type="paragraph" w:styleId="NoSpacing">
    <w:name w:val="No Spacing"/>
    <w:uiPriority w:val="1"/>
    <w:qFormat/>
    <w:rsid w:val="00805410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1E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60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3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7041F2A734B4D9F31B90A4DE75DC5" ma:contentTypeVersion="17" ma:contentTypeDescription="Create a new document." ma:contentTypeScope="" ma:versionID="d5d3e17482b30418ab045ab06c566a53">
  <xsd:schema xmlns:xsd="http://www.w3.org/2001/XMLSchema" xmlns:xs="http://www.w3.org/2001/XMLSchema" xmlns:p="http://schemas.microsoft.com/office/2006/metadata/properties" xmlns:ns2="43327fc6-0a67-4d39-a208-3d9a42326253" xmlns:ns3="121d5de5-ded5-4da2-9897-46b38109751e" targetNamespace="http://schemas.microsoft.com/office/2006/metadata/properties" ma:root="true" ma:fieldsID="2db12f2caaa999d279752dac5c41f8fd" ns2:_="" ns3:_="">
    <xsd:import namespace="43327fc6-0a67-4d39-a208-3d9a42326253"/>
    <xsd:import namespace="121d5de5-ded5-4da2-9897-46b38109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7fc6-0a67-4d39-a208-3d9a4232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5de5-ded5-4da2-9897-46b38109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4e522-3dcb-421f-9cc6-36917554d668}" ma:internalName="TaxCatchAll" ma:showField="CatchAllData" ma:web="121d5de5-ded5-4da2-9897-46b381097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27fc6-0a67-4d39-a208-3d9a42326253">
      <Terms xmlns="http://schemas.microsoft.com/office/infopath/2007/PartnerControls"/>
    </lcf76f155ced4ddcb4097134ff3c332f>
    <TaxCatchAll xmlns="121d5de5-ded5-4da2-9897-46b38109751e" xsi:nil="true"/>
  </documentManagement>
</p:properties>
</file>

<file path=customXml/itemProps1.xml><?xml version="1.0" encoding="utf-8"?>
<ds:datastoreItem xmlns:ds="http://schemas.openxmlformats.org/officeDocument/2006/customXml" ds:itemID="{B42F6CF8-FEC1-42EC-BFD8-7E228BAFC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27fc6-0a67-4d39-a208-3d9a42326253"/>
    <ds:schemaRef ds:uri="121d5de5-ded5-4da2-9897-46b38109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CF220-00EC-469F-88EC-3BDBA065E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B268A-9055-4CAC-A466-74395D997E61}">
  <ds:schemaRefs>
    <ds:schemaRef ds:uri="http://schemas.microsoft.com/office/2006/metadata/properties"/>
    <ds:schemaRef ds:uri="http://schemas.microsoft.com/office/infopath/2007/PartnerControls"/>
    <ds:schemaRef ds:uri="43327fc6-0a67-4d39-a208-3d9a42326253"/>
    <ds:schemaRef ds:uri="121d5de5-ded5-4da2-9897-46b3810975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Kim</dc:creator>
  <cp:keywords/>
  <dc:description/>
  <cp:lastModifiedBy>Erin Holland</cp:lastModifiedBy>
  <cp:revision>3</cp:revision>
  <dcterms:created xsi:type="dcterms:W3CDTF">2024-03-19T17:47:00Z</dcterms:created>
  <dcterms:modified xsi:type="dcterms:W3CDTF">2024-03-19T17:58:00Z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0x0101000EB7041F2A734B4D9F31B90A4DE75DC5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2023-01-10T22:17:33Z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84439d88-7cf4-4687-87fe-2eb50c640f1a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