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B3FAB60" w14:paraId="4CAE5AC0" wp14:textId="6B521C32">
      <w:pPr>
        <w:pStyle w:val="Heading1"/>
      </w:pPr>
      <w:r w:rsidRPr="3B3FAB60" w:rsidR="3B3FAB60">
        <w:rPr>
          <w:rFonts w:ascii="Lato" w:hAnsi="Lato" w:eastAsia="Lato" w:cs="Lato"/>
          <w:b w:val="0"/>
          <w:bCs w:val="0"/>
          <w:i w:val="0"/>
          <w:iCs w:val="0"/>
          <w:caps w:val="0"/>
          <w:smallCaps w:val="0"/>
          <w:noProof w:val="0"/>
          <w:color w:val="333333"/>
          <w:sz w:val="61"/>
          <w:szCs w:val="61"/>
          <w:lang w:val="en-GB"/>
        </w:rPr>
        <w:t>Planned Transfer of Assets</w:t>
      </w:r>
    </w:p>
    <w:p xmlns:wp14="http://schemas.microsoft.com/office/word/2010/wordml" w14:paraId="4371F3BA" wp14:textId="1624BB04">
      <w:r w:rsidRPr="3B3FAB60" w:rsidR="3B3FAB60">
        <w:rPr>
          <w:rFonts w:ascii="Lato" w:hAnsi="Lato" w:eastAsia="Lato" w:cs="Lato"/>
          <w:b w:val="0"/>
          <w:bCs w:val="0"/>
          <w:i w:val="0"/>
          <w:iCs w:val="0"/>
          <w:caps w:val="0"/>
          <w:smallCaps w:val="0"/>
          <w:noProof w:val="0"/>
          <w:color w:val="999999"/>
          <w:sz w:val="36"/>
          <w:szCs w:val="36"/>
          <w:lang w:val="en-GB"/>
        </w:rPr>
        <w:t>Easily move equipment from one order to another without returning items to your warehouse.</w:t>
      </w:r>
    </w:p>
    <w:p xmlns:wp14="http://schemas.microsoft.com/office/word/2010/wordml" w:rsidP="3B3FAB60" w14:paraId="5E5787A5" wp14:textId="4BB4738D">
      <w:pPr>
        <w:pStyle w:val="Normal"/>
      </w:pPr>
      <w:r w:rsidR="3B3FAB60">
        <w:drawing>
          <wp:inline xmlns:wp14="http://schemas.microsoft.com/office/word/2010/wordprocessingDrawing" wp14:editId="656606F6" wp14:anchorId="19EFB4CA">
            <wp:extent cx="5381204" cy="3800475"/>
            <wp:effectExtent l="0" t="0" r="0" b="0"/>
            <wp:docPr id="1363715387" name="" title=""/>
            <wp:cNvGraphicFramePr>
              <a:graphicFrameLocks noChangeAspect="1"/>
            </wp:cNvGraphicFramePr>
            <a:graphic>
              <a:graphicData uri="http://schemas.openxmlformats.org/drawingml/2006/picture">
                <pic:pic>
                  <pic:nvPicPr>
                    <pic:cNvPr id="0" name=""/>
                    <pic:cNvPicPr/>
                  </pic:nvPicPr>
                  <pic:blipFill>
                    <a:blip r:embed="Rbc705d00930c4c08">
                      <a:extLst>
                        <a:ext xmlns:a="http://schemas.openxmlformats.org/drawingml/2006/main" uri="{28A0092B-C50C-407E-A947-70E740481C1C}">
                          <a14:useLocalDpi val="0"/>
                        </a:ext>
                      </a:extLst>
                    </a:blip>
                    <a:stretch>
                      <a:fillRect/>
                    </a:stretch>
                  </pic:blipFill>
                  <pic:spPr>
                    <a:xfrm>
                      <a:off x="0" y="0"/>
                      <a:ext cx="5381204" cy="3800475"/>
                    </a:xfrm>
                    <a:prstGeom prst="rect">
                      <a:avLst/>
                    </a:prstGeom>
                  </pic:spPr>
                </pic:pic>
              </a:graphicData>
            </a:graphic>
          </wp:inline>
        </w:drawing>
      </w:r>
    </w:p>
    <w:p w:rsidR="3B3FAB60" w:rsidRDefault="3B3FAB60" w14:paraId="31CA9346" w14:textId="4F14276E">
      <w:r w:rsidRPr="3B3FAB60" w:rsidR="3B3FAB60">
        <w:rPr>
          <w:rFonts w:ascii="Lato" w:hAnsi="Lato" w:eastAsia="Lato" w:cs="Lato"/>
          <w:b w:val="0"/>
          <w:bCs w:val="0"/>
          <w:i w:val="0"/>
          <w:iCs w:val="0"/>
          <w:caps w:val="0"/>
          <w:smallCaps w:val="0"/>
          <w:noProof w:val="0"/>
          <w:color w:val="333333"/>
          <w:sz w:val="24"/>
          <w:szCs w:val="24"/>
          <w:lang w:val="en-GB"/>
        </w:rPr>
        <w:t>Easily resolve shortages and avoid overlapping orders by transferring equipment, rather than sub-renting. Transferring assets in from another opportunity is a great way of efficiently moving your equipment around. Rather than collect and book out your equipment again, you can now just use the Transfer In feature to take equipment directly from another opportunity.</w:t>
      </w:r>
    </w:p>
    <w:p w:rsidR="3B3FAB60" w:rsidP="3B3FAB60" w:rsidRDefault="3B3FAB60" w14:paraId="05D1E218" w14:textId="3D958C4C">
      <w:pPr>
        <w:pStyle w:val="ListParagraph"/>
        <w:numPr>
          <w:ilvl w:val="0"/>
          <w:numId w:val="1"/>
        </w:numPr>
        <w:rPr>
          <w:rFonts w:ascii="Lato" w:hAnsi="Lato" w:eastAsia="Lato" w:cs="Lato" w:asciiTheme="minorAscii" w:hAnsiTheme="minorAscii" w:eastAsiaTheme="minorAscii" w:cstheme="minorAscii"/>
          <w:b w:val="1"/>
          <w:bCs w:val="1"/>
          <w:i w:val="0"/>
          <w:iCs w:val="0"/>
          <w:caps w:val="0"/>
          <w:smallCaps w:val="0"/>
          <w:noProof w:val="0"/>
          <w:color w:val="333333"/>
          <w:sz w:val="24"/>
          <w:szCs w:val="24"/>
          <w:lang w:val="en-GB"/>
        </w:rPr>
      </w:pPr>
      <w:r w:rsidRPr="3B3FAB60" w:rsidR="3B3FAB60">
        <w:rPr>
          <w:rFonts w:ascii="Lato" w:hAnsi="Lato" w:eastAsia="Lato" w:cs="Lato"/>
          <w:b w:val="1"/>
          <w:bCs w:val="1"/>
          <w:i w:val="0"/>
          <w:iCs w:val="0"/>
          <w:caps w:val="0"/>
          <w:smallCaps w:val="0"/>
          <w:noProof w:val="0"/>
          <w:color w:val="333333"/>
          <w:sz w:val="24"/>
          <w:szCs w:val="24"/>
          <w:lang w:val="en-GB"/>
        </w:rPr>
        <w:t>Create a Transfer of Assets</w:t>
      </w:r>
      <w:r w:rsidRPr="3B3FAB60" w:rsidR="3B3FAB60">
        <w:rPr>
          <w:rFonts w:ascii="Lato" w:hAnsi="Lato" w:eastAsia="Lato" w:cs="Lato"/>
          <w:b w:val="0"/>
          <w:bCs w:val="0"/>
          <w:i w:val="0"/>
          <w:iCs w:val="0"/>
          <w:caps w:val="0"/>
          <w:smallCaps w:val="0"/>
          <w:noProof w:val="0"/>
          <w:color w:val="333333"/>
          <w:sz w:val="24"/>
          <w:szCs w:val="24"/>
          <w:lang w:val="en-GB"/>
        </w:rPr>
        <w:t xml:space="preserve"> – Simply head to the destination opportunity and click on the items you want to transfer in.</w:t>
      </w:r>
    </w:p>
    <w:p w:rsidR="3B3FAB60" w:rsidP="3B3FAB60" w:rsidRDefault="3B3FAB60" w14:paraId="1393FC14" w14:textId="58FADA7B">
      <w:pPr>
        <w:pStyle w:val="ListParagraph"/>
        <w:numPr>
          <w:ilvl w:val="0"/>
          <w:numId w:val="1"/>
        </w:numPr>
        <w:rPr>
          <w:rFonts w:ascii="Lato" w:hAnsi="Lato" w:eastAsia="Lato" w:cs="Lato" w:asciiTheme="minorAscii" w:hAnsiTheme="minorAscii" w:eastAsiaTheme="minorAscii" w:cstheme="minorAscii"/>
          <w:b w:val="1"/>
          <w:bCs w:val="1"/>
          <w:i w:val="0"/>
          <w:iCs w:val="0"/>
          <w:caps w:val="0"/>
          <w:smallCaps w:val="0"/>
          <w:noProof w:val="0"/>
          <w:color w:val="333333"/>
          <w:sz w:val="24"/>
          <w:szCs w:val="24"/>
          <w:lang w:val="en-GB"/>
        </w:rPr>
      </w:pPr>
      <w:r w:rsidRPr="3B3FAB60" w:rsidR="3B3FAB60">
        <w:rPr>
          <w:rFonts w:ascii="Lato" w:hAnsi="Lato" w:eastAsia="Lato" w:cs="Lato"/>
          <w:b w:val="1"/>
          <w:bCs w:val="1"/>
          <w:i w:val="0"/>
          <w:iCs w:val="0"/>
          <w:caps w:val="0"/>
          <w:smallCaps w:val="0"/>
          <w:noProof w:val="0"/>
          <w:color w:val="333333"/>
          <w:sz w:val="24"/>
          <w:szCs w:val="24"/>
          <w:lang w:val="en-GB"/>
        </w:rPr>
        <w:t>Allocating a Transferred Item</w:t>
      </w:r>
      <w:r w:rsidRPr="3B3FAB60" w:rsidR="3B3FAB60">
        <w:rPr>
          <w:rFonts w:ascii="Lato" w:hAnsi="Lato" w:eastAsia="Lato" w:cs="Lato"/>
          <w:b w:val="0"/>
          <w:bCs w:val="0"/>
          <w:i w:val="0"/>
          <w:iCs w:val="0"/>
          <w:caps w:val="0"/>
          <w:smallCaps w:val="0"/>
          <w:noProof w:val="0"/>
          <w:color w:val="333333"/>
          <w:sz w:val="24"/>
          <w:szCs w:val="24"/>
          <w:lang w:val="en-GB"/>
        </w:rPr>
        <w:t xml:space="preserve"> – When a transfer has been created, the status of the item on the opportunity will be set to reserved, ready for you to easily allocate.</w:t>
      </w:r>
    </w:p>
    <w:p w:rsidR="3B3FAB60" w:rsidP="3B3FAB60" w:rsidRDefault="3B3FAB60" w14:paraId="06183F4C" w14:textId="1F2A7739">
      <w:pPr>
        <w:pStyle w:val="ListParagraph"/>
        <w:numPr>
          <w:ilvl w:val="0"/>
          <w:numId w:val="1"/>
        </w:numPr>
        <w:rPr>
          <w:rFonts w:ascii="Lato" w:hAnsi="Lato" w:eastAsia="Lato" w:cs="Lato" w:asciiTheme="minorAscii" w:hAnsiTheme="minorAscii" w:eastAsiaTheme="minorAscii" w:cstheme="minorAscii"/>
          <w:b w:val="1"/>
          <w:bCs w:val="1"/>
          <w:i w:val="0"/>
          <w:iCs w:val="0"/>
          <w:caps w:val="0"/>
          <w:smallCaps w:val="0"/>
          <w:noProof w:val="0"/>
          <w:color w:val="333333"/>
          <w:sz w:val="24"/>
          <w:szCs w:val="24"/>
          <w:lang w:val="en-GB"/>
        </w:rPr>
      </w:pPr>
      <w:r w:rsidRPr="3B3FAB60" w:rsidR="3B3FAB60">
        <w:rPr>
          <w:rFonts w:ascii="Lato" w:hAnsi="Lato" w:eastAsia="Lato" w:cs="Lato"/>
          <w:b w:val="1"/>
          <w:bCs w:val="1"/>
          <w:i w:val="0"/>
          <w:iCs w:val="0"/>
          <w:caps w:val="0"/>
          <w:smallCaps w:val="0"/>
          <w:noProof w:val="0"/>
          <w:color w:val="333333"/>
          <w:sz w:val="24"/>
          <w:szCs w:val="24"/>
          <w:lang w:val="en-GB"/>
        </w:rPr>
        <w:t>Booking out Transferred Items</w:t>
      </w:r>
      <w:r w:rsidRPr="3B3FAB60" w:rsidR="3B3FAB60">
        <w:rPr>
          <w:rFonts w:ascii="Lato" w:hAnsi="Lato" w:eastAsia="Lato" w:cs="Lato"/>
          <w:b w:val="0"/>
          <w:bCs w:val="0"/>
          <w:i w:val="0"/>
          <w:iCs w:val="0"/>
          <w:caps w:val="0"/>
          <w:smallCaps w:val="0"/>
          <w:noProof w:val="0"/>
          <w:color w:val="333333"/>
          <w:sz w:val="24"/>
          <w:szCs w:val="24"/>
          <w:lang w:val="en-GB"/>
        </w:rPr>
        <w:t xml:space="preserve"> – Easily complete the transfer by booking out your assets, automatically setting the status to complete, ultimately saving you time having to go through the usual check-in process.</w:t>
      </w:r>
    </w:p>
    <w:p w:rsidR="3B3FAB60" w:rsidRDefault="3B3FAB60" w14:paraId="3A01F2CA" w14:textId="285A73EB">
      <w:r w:rsidRPr="3B3FAB60" w:rsidR="3B3FAB60">
        <w:rPr>
          <w:rFonts w:ascii="Lato" w:hAnsi="Lato" w:eastAsia="Lato" w:cs="Lato"/>
          <w:b w:val="0"/>
          <w:bCs w:val="0"/>
          <w:i w:val="0"/>
          <w:iCs w:val="0"/>
          <w:caps w:val="0"/>
          <w:smallCaps w:val="0"/>
          <w:noProof w:val="0"/>
          <w:color w:val="333333"/>
          <w:sz w:val="24"/>
          <w:szCs w:val="24"/>
          <w:lang w:val="en-GB"/>
        </w:rPr>
        <w:t xml:space="preserve">For more information on Transfer of Assets, check out our </w:t>
      </w:r>
      <w:hyperlink r:id="R11101c2352594485">
        <w:r w:rsidRPr="3B3FAB60" w:rsidR="3B3FAB60">
          <w:rPr>
            <w:rStyle w:val="Hyperlink"/>
            <w:rFonts w:ascii="Lato" w:hAnsi="Lato" w:eastAsia="Lato" w:cs="Lato"/>
            <w:b w:val="0"/>
            <w:bCs w:val="0"/>
            <w:i w:val="0"/>
            <w:iCs w:val="0"/>
            <w:caps w:val="0"/>
            <w:smallCaps w:val="0"/>
            <w:strike w:val="0"/>
            <w:dstrike w:val="0"/>
            <w:noProof w:val="0"/>
            <w:sz w:val="24"/>
            <w:szCs w:val="24"/>
            <w:lang w:val="en-GB"/>
          </w:rPr>
          <w:t>guides</w:t>
        </w:r>
      </w:hyperlink>
      <w:r w:rsidRPr="3B3FAB60" w:rsidR="3B3FAB60">
        <w:rPr>
          <w:rFonts w:ascii="Lato" w:hAnsi="Lato" w:eastAsia="Lato" w:cs="Lato"/>
          <w:b w:val="0"/>
          <w:bCs w:val="0"/>
          <w:i w:val="0"/>
          <w:iCs w:val="0"/>
          <w:caps w:val="0"/>
          <w:smallCaps w:val="0"/>
          <w:noProof w:val="0"/>
          <w:color w:val="333333"/>
          <w:sz w:val="24"/>
          <w:szCs w:val="24"/>
          <w:lang w:val="en-GB"/>
        </w:rPr>
        <w:t>.</w:t>
      </w:r>
    </w:p>
    <w:p w:rsidR="3B3FAB60" w:rsidP="3B3FAB60" w:rsidRDefault="3B3FAB60" w14:paraId="79BCBDD9" w14:textId="7A2048C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bc45a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483789"/>
    <w:rsid w:val="3B3FAB60"/>
    <w:rsid w:val="4648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3789"/>
  <w15:chartTrackingRefBased/>
  <w15:docId w15:val="{E50B900E-C552-48A4-8AFC-75E7BFE5F7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bc705d00930c4c08" /><Relationship Type="http://schemas.openxmlformats.org/officeDocument/2006/relationships/hyperlink" Target="https://help.current-rms.com/en/articles/6009521-creating-a-transfer" TargetMode="External" Id="R11101c2352594485" /><Relationship Type="http://schemas.openxmlformats.org/officeDocument/2006/relationships/numbering" Target="/word/numbering.xml" Id="R28513ff2b57e4c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Bacon, Holly</dc:creator>
  <keywords/>
  <dc:description/>
  <lastModifiedBy>Bacon, Holly</lastModifiedBy>
  <revision>2</revision>
  <dcterms:created xsi:type="dcterms:W3CDTF">2022-08-18T08:21:33.3583020Z</dcterms:created>
  <dcterms:modified xsi:type="dcterms:W3CDTF">2022-08-18T08:22:19.6746855Z</dcterms:modified>
</coreProperties>
</file>